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2CC" w:rsidRPr="00FA0873" w:rsidRDefault="001462CC" w:rsidP="001462CC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lang w:val="en-US"/>
        </w:rPr>
      </w:pPr>
      <w:r w:rsidRPr="00FA0873">
        <w:rPr>
          <w:rFonts w:ascii="Times New Roman" w:hAnsi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479F8F6" wp14:editId="0650F23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2307D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FA0873">
        <w:rPr>
          <w:rFonts w:ascii="Times New Roman" w:hAnsi="Times New Roman"/>
          <w:b/>
          <w:sz w:val="24"/>
        </w:rPr>
        <w:t>3GPP T</w:t>
      </w:r>
      <w:r w:rsidRPr="00FA0873">
        <w:rPr>
          <w:rFonts w:ascii="Times New Roman" w:hAnsi="Times New Roman"/>
          <w:b/>
          <w:sz w:val="24"/>
          <w:szCs w:val="24"/>
        </w:rPr>
        <w:t>SG-RAN</w:t>
      </w:r>
      <w:r w:rsidRPr="00FA0873">
        <w:rPr>
          <w:rFonts w:ascii="Times New Roman" w:hAnsi="Times New Roman"/>
        </w:rPr>
        <w:t xml:space="preserve"> </w:t>
      </w:r>
      <w:r w:rsidRPr="00FA0873">
        <w:rPr>
          <w:rFonts w:ascii="Times New Roman" w:hAnsi="Times New Roman"/>
          <w:b/>
          <w:sz w:val="24"/>
        </w:rPr>
        <w:t xml:space="preserve">WG1 Meeting#106-e                                       </w:t>
      </w:r>
      <w:r w:rsidR="00961DE7">
        <w:rPr>
          <w:rFonts w:ascii="Times New Roman" w:hAnsi="Times New Roman"/>
          <w:b/>
          <w:sz w:val="24"/>
        </w:rPr>
        <w:t xml:space="preserve">          </w:t>
      </w:r>
      <w:r w:rsidRPr="00490EF5">
        <w:rPr>
          <w:rFonts w:ascii="Times New Roman" w:hAnsi="Times New Roman"/>
          <w:b/>
          <w:sz w:val="24"/>
          <w:lang w:val="en-US"/>
        </w:rPr>
        <w:t>R1-210</w:t>
      </w:r>
      <w:r w:rsidR="00490EF5" w:rsidRPr="00490EF5">
        <w:rPr>
          <w:rFonts w:ascii="Times New Roman" w:hAnsi="Times New Roman"/>
          <w:b/>
          <w:sz w:val="24"/>
          <w:lang w:val="en-US" w:eastAsia="ko-KR"/>
        </w:rPr>
        <w:t>6853</w:t>
      </w:r>
    </w:p>
    <w:p w:rsidR="001462CC" w:rsidRPr="00FA0873" w:rsidRDefault="001462CC" w:rsidP="001462CC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lang w:val="en-US"/>
        </w:rPr>
      </w:pPr>
      <w:r w:rsidRPr="00FA0873">
        <w:rPr>
          <w:rFonts w:ascii="Times New Roman" w:hAnsi="Times New Roman"/>
          <w:b/>
          <w:sz w:val="24"/>
          <w:szCs w:val="24"/>
          <w:lang w:eastAsia="zh-CN"/>
        </w:rPr>
        <w:t xml:space="preserve">E-meeting, </w:t>
      </w:r>
      <w:r w:rsidR="00305394" w:rsidRPr="00FA0873">
        <w:rPr>
          <w:rFonts w:ascii="Times New Roman" w:hAnsi="Times New Roman"/>
          <w:b/>
          <w:sz w:val="24"/>
        </w:rPr>
        <w:t>August 16</w:t>
      </w:r>
      <w:r w:rsidR="00305394" w:rsidRPr="00FA0873">
        <w:rPr>
          <w:rFonts w:ascii="Times New Roman" w:hAnsi="Times New Roman"/>
          <w:b/>
          <w:sz w:val="24"/>
          <w:vertAlign w:val="superscript"/>
        </w:rPr>
        <w:t>th</w:t>
      </w:r>
      <w:r w:rsidR="00305394" w:rsidRPr="00FA0873">
        <w:rPr>
          <w:rFonts w:ascii="Times New Roman" w:hAnsi="Times New Roman"/>
          <w:b/>
          <w:sz w:val="24"/>
        </w:rPr>
        <w:t xml:space="preserve"> – 27</w:t>
      </w:r>
      <w:r w:rsidR="00305394" w:rsidRPr="00FA0873">
        <w:rPr>
          <w:rFonts w:ascii="Times New Roman" w:hAnsi="Times New Roman"/>
          <w:b/>
          <w:sz w:val="24"/>
          <w:vertAlign w:val="superscript"/>
        </w:rPr>
        <w:t>th</w:t>
      </w:r>
      <w:r w:rsidRPr="00FA0873">
        <w:rPr>
          <w:rFonts w:ascii="Times New Roman" w:hAnsi="Times New Roman"/>
          <w:b/>
          <w:sz w:val="24"/>
          <w:szCs w:val="24"/>
          <w:lang w:eastAsia="zh-CN"/>
        </w:rPr>
        <w:t>, 2021</w:t>
      </w:r>
    </w:p>
    <w:p w:rsidR="001462CC" w:rsidRPr="009A239F" w:rsidRDefault="001462CC" w:rsidP="001462CC">
      <w:pPr>
        <w:rPr>
          <w:lang w:eastAsia="zh-CN"/>
        </w:rPr>
      </w:pPr>
    </w:p>
    <w:p w:rsidR="001462CC" w:rsidRPr="00FA0873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FA0873">
        <w:rPr>
          <w:b/>
          <w:sz w:val="20"/>
          <w:szCs w:val="20"/>
        </w:rPr>
        <w:t>Title:</w:t>
      </w:r>
      <w:r w:rsidRPr="00FA0873">
        <w:rPr>
          <w:b/>
          <w:sz w:val="20"/>
          <w:szCs w:val="20"/>
        </w:rPr>
        <w:tab/>
      </w:r>
      <w:r w:rsidR="00F06915" w:rsidRPr="00FA0873">
        <w:rPr>
          <w:b/>
          <w:sz w:val="20"/>
          <w:szCs w:val="20"/>
        </w:rPr>
        <w:t xml:space="preserve">[Draft] </w:t>
      </w:r>
      <w:r w:rsidRPr="00FA0873">
        <w:rPr>
          <w:sz w:val="20"/>
          <w:szCs w:val="20"/>
        </w:rPr>
        <w:t>LS Reply</w:t>
      </w:r>
      <w:r w:rsidR="008D7BFC">
        <w:rPr>
          <w:sz w:val="20"/>
          <w:szCs w:val="20"/>
        </w:rPr>
        <w:t xml:space="preserve"> to RAN3</w:t>
      </w:r>
      <w:r w:rsidRPr="00FA0873">
        <w:rPr>
          <w:sz w:val="20"/>
          <w:szCs w:val="20"/>
        </w:rPr>
        <w:t xml:space="preserve"> on </w:t>
      </w:r>
      <w:r w:rsidRPr="00FA0873">
        <w:rPr>
          <w:bCs/>
          <w:sz w:val="20"/>
          <w:szCs w:val="20"/>
          <w:lang w:val="en-GB"/>
        </w:rPr>
        <w:t>TCI State Update for L1/L2-Centric Inter-Cell Mobility</w:t>
      </w:r>
    </w:p>
    <w:p w:rsidR="001462CC" w:rsidRPr="00FA0873" w:rsidRDefault="001462CC" w:rsidP="001462CC">
      <w:pPr>
        <w:spacing w:after="60"/>
        <w:ind w:left="1985" w:hanging="1985"/>
        <w:rPr>
          <w:bCs/>
          <w:sz w:val="20"/>
          <w:szCs w:val="20"/>
        </w:rPr>
      </w:pPr>
      <w:r w:rsidRPr="00FA0873">
        <w:rPr>
          <w:b/>
          <w:sz w:val="20"/>
          <w:szCs w:val="20"/>
        </w:rPr>
        <w:t>Response to:</w:t>
      </w:r>
      <w:r w:rsidRPr="00FA0873">
        <w:rPr>
          <w:bCs/>
          <w:sz w:val="20"/>
          <w:szCs w:val="20"/>
        </w:rPr>
        <w:tab/>
      </w:r>
      <w:r w:rsidRPr="00490EF5">
        <w:rPr>
          <w:sz w:val="20"/>
          <w:szCs w:val="20"/>
        </w:rPr>
        <w:t>R1-210</w:t>
      </w:r>
      <w:r w:rsidR="00490EF5" w:rsidRPr="00490EF5">
        <w:rPr>
          <w:sz w:val="20"/>
          <w:szCs w:val="20"/>
        </w:rPr>
        <w:t>6418</w:t>
      </w:r>
      <w:r w:rsidRPr="00FA0873">
        <w:rPr>
          <w:sz w:val="20"/>
          <w:szCs w:val="20"/>
        </w:rPr>
        <w:t>/</w:t>
      </w:r>
      <w:r w:rsidR="00FA0873" w:rsidRPr="00FA0873">
        <w:rPr>
          <w:sz w:val="20"/>
          <w:szCs w:val="20"/>
        </w:rPr>
        <w:t>R3-212879</w:t>
      </w:r>
    </w:p>
    <w:p w:rsidR="001462CC" w:rsidRPr="00FA0873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FA0873">
        <w:rPr>
          <w:b/>
          <w:sz w:val="20"/>
          <w:szCs w:val="20"/>
        </w:rPr>
        <w:t>Release:</w:t>
      </w:r>
      <w:r w:rsidRPr="00FA0873">
        <w:rPr>
          <w:bCs/>
          <w:sz w:val="20"/>
          <w:szCs w:val="20"/>
        </w:rPr>
        <w:tab/>
        <w:t>Rel-17</w:t>
      </w:r>
    </w:p>
    <w:p w:rsidR="001462CC" w:rsidRPr="00FA0873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FA0873">
        <w:rPr>
          <w:b/>
          <w:sz w:val="20"/>
          <w:szCs w:val="20"/>
        </w:rPr>
        <w:t>Work Item:</w:t>
      </w:r>
      <w:r w:rsidRPr="00FA0873">
        <w:rPr>
          <w:bCs/>
          <w:sz w:val="20"/>
          <w:szCs w:val="20"/>
        </w:rPr>
        <w:tab/>
      </w:r>
      <w:r w:rsidRPr="00FA0873">
        <w:rPr>
          <w:bCs/>
          <w:sz w:val="20"/>
          <w:szCs w:val="20"/>
          <w:lang w:val="en-GB"/>
        </w:rPr>
        <w:t>NR_FeMIMO-Core</w:t>
      </w:r>
    </w:p>
    <w:p w:rsidR="001462CC" w:rsidRPr="00FA0873" w:rsidRDefault="001462CC" w:rsidP="001462CC">
      <w:pPr>
        <w:spacing w:after="60"/>
        <w:ind w:left="1985" w:hanging="1985"/>
        <w:rPr>
          <w:b/>
          <w:sz w:val="20"/>
          <w:szCs w:val="20"/>
        </w:rPr>
      </w:pPr>
    </w:p>
    <w:p w:rsidR="001462CC" w:rsidRPr="00FA0873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</w:rPr>
      </w:pPr>
      <w:r w:rsidRPr="00FA0873">
        <w:rPr>
          <w:b/>
          <w:sz w:val="20"/>
          <w:szCs w:val="20"/>
        </w:rPr>
        <w:t>Source:</w:t>
      </w:r>
      <w:r w:rsidRPr="00FA0873">
        <w:rPr>
          <w:bCs/>
          <w:sz w:val="20"/>
          <w:szCs w:val="20"/>
        </w:rPr>
        <w:tab/>
        <w:t>RAN1</w:t>
      </w:r>
    </w:p>
    <w:p w:rsidR="001462CC" w:rsidRPr="00FA0873" w:rsidRDefault="001462CC" w:rsidP="001462CC">
      <w:pPr>
        <w:spacing w:after="60"/>
        <w:ind w:left="1985" w:hanging="1985"/>
        <w:rPr>
          <w:rFonts w:eastAsia="SimSun"/>
          <w:b/>
          <w:bCs/>
          <w:sz w:val="20"/>
          <w:szCs w:val="20"/>
          <w:lang w:eastAsia="zh-CN"/>
        </w:rPr>
      </w:pPr>
      <w:r w:rsidRPr="00FA0873">
        <w:rPr>
          <w:b/>
          <w:sz w:val="20"/>
          <w:szCs w:val="20"/>
        </w:rPr>
        <w:t>To:</w:t>
      </w:r>
      <w:r w:rsidRPr="00FA0873">
        <w:rPr>
          <w:bCs/>
          <w:sz w:val="20"/>
          <w:szCs w:val="20"/>
        </w:rPr>
        <w:tab/>
      </w:r>
      <w:r w:rsidR="00FA0873" w:rsidRPr="00FA0873">
        <w:rPr>
          <w:rFonts w:eastAsia="SimSun"/>
          <w:bCs/>
          <w:sz w:val="20"/>
          <w:szCs w:val="20"/>
          <w:lang w:eastAsia="zh-CN"/>
        </w:rPr>
        <w:t>RAN3</w:t>
      </w:r>
    </w:p>
    <w:p w:rsidR="001462CC" w:rsidRPr="00FA0873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FA0873">
        <w:rPr>
          <w:b/>
          <w:sz w:val="20"/>
          <w:szCs w:val="20"/>
        </w:rPr>
        <w:t>Cc:</w:t>
      </w:r>
      <w:r w:rsidRPr="00FA0873">
        <w:rPr>
          <w:bCs/>
          <w:sz w:val="20"/>
          <w:szCs w:val="20"/>
        </w:rPr>
        <w:tab/>
      </w:r>
      <w:r w:rsidR="00FA0873" w:rsidRPr="00FA0873">
        <w:rPr>
          <w:bCs/>
          <w:sz w:val="20"/>
          <w:szCs w:val="20"/>
        </w:rPr>
        <w:t>RAN2</w:t>
      </w:r>
      <w:r w:rsidRPr="00FA0873">
        <w:rPr>
          <w:bCs/>
          <w:sz w:val="20"/>
          <w:szCs w:val="20"/>
        </w:rPr>
        <w:t>, RAN4, RAN</w:t>
      </w:r>
    </w:p>
    <w:p w:rsidR="001462CC" w:rsidRPr="00FA0873" w:rsidRDefault="001462CC" w:rsidP="001462CC">
      <w:pPr>
        <w:spacing w:after="60"/>
        <w:ind w:left="1985" w:hanging="1985"/>
        <w:rPr>
          <w:bCs/>
          <w:sz w:val="20"/>
          <w:szCs w:val="20"/>
        </w:rPr>
      </w:pPr>
    </w:p>
    <w:p w:rsidR="001462CC" w:rsidRPr="00FA0873" w:rsidRDefault="001462CC" w:rsidP="001462CC">
      <w:pPr>
        <w:tabs>
          <w:tab w:val="left" w:pos="2268"/>
        </w:tabs>
        <w:rPr>
          <w:bCs/>
          <w:sz w:val="20"/>
          <w:szCs w:val="20"/>
        </w:rPr>
      </w:pPr>
      <w:r w:rsidRPr="00FA0873">
        <w:rPr>
          <w:b/>
          <w:sz w:val="20"/>
          <w:szCs w:val="20"/>
        </w:rPr>
        <w:t>Contact Person:</w:t>
      </w:r>
      <w:r w:rsidRPr="00FA0873">
        <w:rPr>
          <w:bCs/>
          <w:sz w:val="20"/>
          <w:szCs w:val="20"/>
        </w:rPr>
        <w:tab/>
      </w:r>
    </w:p>
    <w:p w:rsidR="001462CC" w:rsidRPr="00FA0873" w:rsidRDefault="001462CC" w:rsidP="001462CC">
      <w:pPr>
        <w:spacing w:after="60"/>
        <w:ind w:left="2552" w:hanging="1985"/>
        <w:rPr>
          <w:b/>
          <w:sz w:val="20"/>
          <w:szCs w:val="20"/>
        </w:rPr>
      </w:pPr>
      <w:r w:rsidRPr="00FA0873">
        <w:rPr>
          <w:b/>
          <w:sz w:val="20"/>
          <w:szCs w:val="20"/>
        </w:rPr>
        <w:t>Name:</w:t>
      </w:r>
      <w:r w:rsidRPr="00FA0873">
        <w:rPr>
          <w:b/>
          <w:sz w:val="20"/>
          <w:szCs w:val="20"/>
        </w:rPr>
        <w:tab/>
      </w:r>
      <w:proofErr w:type="spellStart"/>
      <w:r w:rsidRPr="00FA0873">
        <w:rPr>
          <w:sz w:val="20"/>
          <w:szCs w:val="20"/>
        </w:rPr>
        <w:t>Emad</w:t>
      </w:r>
      <w:proofErr w:type="spellEnd"/>
      <w:r w:rsidRPr="00FA0873">
        <w:rPr>
          <w:sz w:val="20"/>
          <w:szCs w:val="20"/>
        </w:rPr>
        <w:t xml:space="preserve"> </w:t>
      </w:r>
      <w:proofErr w:type="spellStart"/>
      <w:r w:rsidRPr="00FA0873">
        <w:rPr>
          <w:sz w:val="20"/>
          <w:szCs w:val="20"/>
        </w:rPr>
        <w:t>Farag</w:t>
      </w:r>
      <w:proofErr w:type="spellEnd"/>
    </w:p>
    <w:p w:rsidR="001462CC" w:rsidRPr="00FA0873" w:rsidRDefault="001462CC" w:rsidP="001462CC">
      <w:pPr>
        <w:spacing w:after="60"/>
        <w:ind w:left="2552" w:hanging="1985"/>
        <w:rPr>
          <w:b/>
          <w:sz w:val="20"/>
          <w:szCs w:val="20"/>
        </w:rPr>
      </w:pPr>
      <w:r w:rsidRPr="00FA0873">
        <w:rPr>
          <w:b/>
          <w:sz w:val="20"/>
          <w:szCs w:val="20"/>
        </w:rPr>
        <w:t>E-mail Address:</w:t>
      </w:r>
      <w:r w:rsidRPr="00FA0873">
        <w:rPr>
          <w:b/>
          <w:sz w:val="20"/>
          <w:szCs w:val="20"/>
        </w:rPr>
        <w:tab/>
      </w:r>
      <w:r w:rsidRPr="00FA0873">
        <w:rPr>
          <w:sz w:val="20"/>
          <w:szCs w:val="20"/>
        </w:rPr>
        <w:t>e.farag@samsung.com</w:t>
      </w:r>
    </w:p>
    <w:p w:rsidR="001462CC" w:rsidRPr="008D7BFC" w:rsidRDefault="001462CC" w:rsidP="001462CC">
      <w:pPr>
        <w:rPr>
          <w:b/>
        </w:rPr>
      </w:pPr>
    </w:p>
    <w:p w:rsidR="00FA0873" w:rsidRPr="008D7BFC" w:rsidRDefault="00FA0873" w:rsidP="00FA0873">
      <w:pPr>
        <w:pStyle w:val="Heading1"/>
        <w:rPr>
          <w:b/>
          <w:sz w:val="24"/>
          <w:szCs w:val="20"/>
        </w:rPr>
      </w:pPr>
      <w:r w:rsidRPr="008D7BFC">
        <w:rPr>
          <w:b/>
          <w:sz w:val="24"/>
          <w:szCs w:val="20"/>
        </w:rPr>
        <w:t>Overall description</w:t>
      </w:r>
    </w:p>
    <w:p w:rsidR="00FA0873" w:rsidRDefault="008D7BFC" w:rsidP="00FA0873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RAN1 would like to thank RAN3 for the reply LS on “</w:t>
      </w:r>
      <w:r w:rsidRPr="008D7BFC">
        <w:rPr>
          <w:iCs/>
          <w:color w:val="000000" w:themeColor="text1"/>
          <w:sz w:val="20"/>
          <w:szCs w:val="20"/>
        </w:rPr>
        <w:t>TCI State Update for L1/L2-Centric Inter-Cell Mobility</w:t>
      </w:r>
      <w:r>
        <w:rPr>
          <w:iCs/>
          <w:color w:val="000000" w:themeColor="text1"/>
          <w:sz w:val="20"/>
          <w:szCs w:val="20"/>
        </w:rPr>
        <w:t>”. In the reply LS, the following question</w:t>
      </w:r>
      <w:r w:rsidR="007F41EC">
        <w:rPr>
          <w:iCs/>
          <w:color w:val="000000" w:themeColor="text1"/>
          <w:sz w:val="20"/>
          <w:szCs w:val="20"/>
        </w:rPr>
        <w:t>s</w:t>
      </w:r>
      <w:r>
        <w:rPr>
          <w:iCs/>
          <w:color w:val="000000" w:themeColor="text1"/>
          <w:sz w:val="20"/>
          <w:szCs w:val="20"/>
        </w:rPr>
        <w:t xml:space="preserve"> are raised:</w:t>
      </w:r>
    </w:p>
    <w:p w:rsidR="008D7BFC" w:rsidRDefault="008D7BFC" w:rsidP="00FA0873">
      <w:pPr>
        <w:rPr>
          <w:iCs/>
          <w:color w:val="000000" w:themeColor="text1"/>
          <w:sz w:val="20"/>
          <w:szCs w:val="20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8D5B36" wp14:editId="77F0EDDF">
                <wp:simplePos x="0" y="0"/>
                <wp:positionH relativeFrom="margin">
                  <wp:align>right</wp:align>
                </wp:positionH>
                <wp:positionV relativeFrom="paragraph">
                  <wp:posOffset>291465</wp:posOffset>
                </wp:positionV>
                <wp:extent cx="5929630" cy="1828800"/>
                <wp:effectExtent l="0" t="0" r="13970" b="2095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963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D7BFC" w:rsidRPr="008D7BFC" w:rsidRDefault="008D7BFC" w:rsidP="008D7BFC">
                            <w:pPr>
                              <w:pStyle w:val="00BodyText"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 New Roman" w:hAnsi="Times New Roman"/>
                                <w:noProof/>
                                <w:sz w:val="20"/>
                                <w:lang w:val="en-GB" w:eastAsia="zh-CN"/>
                              </w:rPr>
                            </w:pPr>
                            <w:r w:rsidRPr="008D7BFC">
                              <w:rPr>
                                <w:rFonts w:ascii="Times New Roman" w:hAnsi="Times New Roman"/>
                                <w:b/>
                                <w:noProof/>
                                <w:sz w:val="20"/>
                                <w:lang w:val="en-GB" w:eastAsia="zh-CN"/>
                              </w:rPr>
                              <w:t>Question 1</w:t>
                            </w:r>
                            <w:r w:rsidRPr="008D7BFC">
                              <w:rPr>
                                <w:rFonts w:ascii="Times New Roman" w:hAnsi="Times New Roman"/>
                                <w:noProof/>
                                <w:sz w:val="20"/>
                                <w:lang w:val="en-GB" w:eastAsia="zh-CN"/>
                              </w:rPr>
                              <w:t xml:space="preserve">: What does “non-serving cell” mean? </w:t>
                            </w:r>
                          </w:p>
                          <w:p w:rsidR="008D7BFC" w:rsidRDefault="008D7BFC" w:rsidP="008D7BFC">
                            <w:pPr>
                              <w:pStyle w:val="NormalWeb"/>
                              <w:snapToGrid w:val="0"/>
                              <w:spacing w:before="0" w:beforeAutospacing="0" w:after="0" w:afterAutospacing="0"/>
                              <w:rPr>
                                <w:rFonts w:eastAsia="DengXian"/>
                                <w:b/>
                                <w:noProof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</w:p>
                          <w:p w:rsidR="008D7BFC" w:rsidRPr="008D7BFC" w:rsidRDefault="008D7BFC" w:rsidP="008D7BFC">
                            <w:pPr>
                              <w:pStyle w:val="NormalWeb"/>
                              <w:snapToGrid w:val="0"/>
                              <w:spacing w:before="0" w:beforeAutospacing="0" w:after="0" w:afterAutospacing="0"/>
                              <w:rPr>
                                <w:rFonts w:eastAsia="DengXian"/>
                                <w:noProof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8D7BFC">
                              <w:rPr>
                                <w:rFonts w:eastAsia="DengXian"/>
                                <w:b/>
                                <w:noProof/>
                                <w:sz w:val="20"/>
                                <w:szCs w:val="20"/>
                                <w:lang w:val="en-GB" w:eastAsia="zh-CN"/>
                              </w:rPr>
                              <w:t>Question 2</w:t>
                            </w:r>
                            <w:r w:rsidRPr="008D7BFC">
                              <w:rPr>
                                <w:rFonts w:eastAsia="DengXian"/>
                                <w:noProof/>
                                <w:sz w:val="20"/>
                                <w:szCs w:val="20"/>
                                <w:lang w:val="en-GB" w:eastAsia="zh-CN"/>
                              </w:rPr>
                              <w:t>: What is the procedure of L1/L2-centric mobility? e.g.,</w:t>
                            </w:r>
                          </w:p>
                          <w:p w:rsidR="008D7BFC" w:rsidRPr="008D7BFC" w:rsidRDefault="008D7BFC" w:rsidP="008D7BFC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napToGrid w:val="0"/>
                              <w:spacing w:before="0" w:beforeAutospacing="0" w:after="0" w:afterAutospacing="0"/>
                              <w:rPr>
                                <w:rFonts w:eastAsia="DengXian"/>
                                <w:noProof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8D7BFC">
                              <w:rPr>
                                <w:rFonts w:eastAsia="DengXian"/>
                                <w:noProof/>
                                <w:sz w:val="20"/>
                                <w:szCs w:val="20"/>
                                <w:lang w:val="en-GB" w:eastAsia="zh-CN"/>
                              </w:rPr>
                              <w:t>Configuration of a non-serving cell</w:t>
                            </w:r>
                          </w:p>
                          <w:p w:rsidR="008D7BFC" w:rsidRPr="008D7BFC" w:rsidRDefault="008D7BFC" w:rsidP="008D7BFC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napToGrid w:val="0"/>
                              <w:spacing w:before="0" w:beforeAutospacing="0" w:after="0" w:afterAutospacing="0"/>
                              <w:rPr>
                                <w:rFonts w:eastAsia="DengXian"/>
                                <w:noProof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8D7BFC">
                              <w:rPr>
                                <w:rFonts w:eastAsia="DengXian"/>
                                <w:noProof/>
                                <w:sz w:val="20"/>
                                <w:szCs w:val="20"/>
                                <w:lang w:val="en-GB" w:eastAsia="zh-CN"/>
                              </w:rPr>
                              <w:t>Deconfiguration of non-serving cell</w:t>
                            </w:r>
                          </w:p>
                          <w:p w:rsidR="008D7BFC" w:rsidRPr="008D7BFC" w:rsidRDefault="008D7BFC" w:rsidP="008D7BFC">
                            <w:pPr>
                              <w:pStyle w:val="NormalWeb"/>
                              <w:numPr>
                                <w:ilvl w:val="0"/>
                                <w:numId w:val="3"/>
                              </w:numPr>
                              <w:snapToGrid w:val="0"/>
                              <w:spacing w:before="0" w:beforeAutospacing="0" w:after="0" w:afterAutospacing="0"/>
                              <w:rPr>
                                <w:rFonts w:eastAsia="DengXian"/>
                                <w:noProof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8D7BFC">
                              <w:rPr>
                                <w:rFonts w:eastAsia="DengXian"/>
                                <w:noProof/>
                                <w:sz w:val="20"/>
                                <w:szCs w:val="20"/>
                                <w:lang w:val="en-GB" w:eastAsia="zh-CN"/>
                              </w:rPr>
                              <w:t>Change of serving cell</w:t>
                            </w:r>
                          </w:p>
                          <w:p w:rsidR="008D7BFC" w:rsidRDefault="008D7BFC" w:rsidP="008D7BFC">
                            <w:pPr>
                              <w:rPr>
                                <w:b/>
                                <w:noProof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:rsidR="008D7BFC" w:rsidRPr="00F85821" w:rsidRDefault="008D7BFC" w:rsidP="00F85821">
                            <w:pPr>
                              <w:rPr>
                                <w:b/>
                                <w:noProof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8D7BFC">
                              <w:rPr>
                                <w:b/>
                                <w:noProof/>
                                <w:sz w:val="20"/>
                                <w:szCs w:val="20"/>
                                <w:lang w:eastAsia="zh-CN"/>
                              </w:rPr>
                              <w:t>Question 3</w:t>
                            </w:r>
                            <w:r w:rsidRPr="008D7BFC">
                              <w:rPr>
                                <w:noProof/>
                                <w:sz w:val="20"/>
                                <w:szCs w:val="20"/>
                                <w:lang w:eastAsia="zh-CN"/>
                              </w:rPr>
                              <w:t>: Whether both intra-frequency and inter-frequency scenarios are targeted for this new scheme?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68D5B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5.7pt;margin-top:22.95pt;width:466.9pt;height:2in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" fillcolor="#f2f2f2 [3052]" strokeweight=".5pt">
                <v:textbox style="mso-fit-shape-to-text:t">
                  <w:txbxContent>
                    <w:p w:rsidR="008D7BFC" w:rsidRPr="008D7BFC" w:rsidRDefault="008D7BFC" w:rsidP="008D7BFC">
                      <w:pPr>
                        <w:pStyle w:val="00BodyText"/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 New Roman" w:hAnsi="Times New Roman"/>
                          <w:noProof/>
                          <w:sz w:val="20"/>
                          <w:lang w:val="en-GB" w:eastAsia="zh-CN"/>
                        </w:rPr>
                      </w:pPr>
                      <w:r w:rsidRPr="008D7BFC">
                        <w:rPr>
                          <w:rFonts w:ascii="Times New Roman" w:hAnsi="Times New Roman"/>
                          <w:b/>
                          <w:noProof/>
                          <w:sz w:val="20"/>
                          <w:lang w:val="en-GB" w:eastAsia="zh-CN"/>
                        </w:rPr>
                        <w:t>Question 1</w:t>
                      </w:r>
                      <w:r w:rsidRPr="008D7BFC">
                        <w:rPr>
                          <w:rFonts w:ascii="Times New Roman" w:hAnsi="Times New Roman"/>
                          <w:noProof/>
                          <w:sz w:val="20"/>
                          <w:lang w:val="en-GB" w:eastAsia="zh-CN"/>
                        </w:rPr>
                        <w:t xml:space="preserve">: What does “non-serving cell” mean? </w:t>
                      </w:r>
                    </w:p>
                    <w:p w:rsidR="008D7BFC" w:rsidRDefault="008D7BFC" w:rsidP="008D7BFC">
                      <w:pPr>
                        <w:pStyle w:val="NormalWeb"/>
                        <w:snapToGrid w:val="0"/>
                        <w:spacing w:before="0" w:beforeAutospacing="0" w:after="0" w:afterAutospacing="0"/>
                        <w:rPr>
                          <w:rFonts w:eastAsia="DengXian"/>
                          <w:b/>
                          <w:noProof/>
                          <w:sz w:val="20"/>
                          <w:szCs w:val="20"/>
                          <w:lang w:val="en-GB" w:eastAsia="zh-CN"/>
                        </w:rPr>
                      </w:pPr>
                    </w:p>
                    <w:p w:rsidR="008D7BFC" w:rsidRPr="008D7BFC" w:rsidRDefault="008D7BFC" w:rsidP="008D7BFC">
                      <w:pPr>
                        <w:pStyle w:val="NormalWeb"/>
                        <w:snapToGrid w:val="0"/>
                        <w:spacing w:before="0" w:beforeAutospacing="0" w:after="0" w:afterAutospacing="0"/>
                        <w:rPr>
                          <w:rFonts w:eastAsia="DengXian"/>
                          <w:noProof/>
                          <w:sz w:val="20"/>
                          <w:szCs w:val="20"/>
                          <w:lang w:val="en-GB" w:eastAsia="zh-CN"/>
                        </w:rPr>
                      </w:pPr>
                      <w:r w:rsidRPr="008D7BFC">
                        <w:rPr>
                          <w:rFonts w:eastAsia="DengXian"/>
                          <w:b/>
                          <w:noProof/>
                          <w:sz w:val="20"/>
                          <w:szCs w:val="20"/>
                          <w:lang w:val="en-GB" w:eastAsia="zh-CN"/>
                        </w:rPr>
                        <w:t>Question 2</w:t>
                      </w:r>
                      <w:r w:rsidRPr="008D7BFC">
                        <w:rPr>
                          <w:rFonts w:eastAsia="DengXian"/>
                          <w:noProof/>
                          <w:sz w:val="20"/>
                          <w:szCs w:val="20"/>
                          <w:lang w:val="en-GB" w:eastAsia="zh-CN"/>
                        </w:rPr>
                        <w:t>: What is the procedure of L1/L2-centric mobility? e.g.,</w:t>
                      </w:r>
                    </w:p>
                    <w:p w:rsidR="008D7BFC" w:rsidRPr="008D7BFC" w:rsidRDefault="008D7BFC" w:rsidP="008D7BFC">
                      <w:pPr>
                        <w:pStyle w:val="NormalWeb"/>
                        <w:numPr>
                          <w:ilvl w:val="0"/>
                          <w:numId w:val="3"/>
                        </w:numPr>
                        <w:snapToGrid w:val="0"/>
                        <w:spacing w:before="0" w:beforeAutospacing="0" w:after="0" w:afterAutospacing="0"/>
                        <w:rPr>
                          <w:rFonts w:eastAsia="DengXian"/>
                          <w:noProof/>
                          <w:sz w:val="20"/>
                          <w:szCs w:val="20"/>
                          <w:lang w:val="en-GB" w:eastAsia="zh-CN"/>
                        </w:rPr>
                      </w:pPr>
                      <w:r w:rsidRPr="008D7BFC">
                        <w:rPr>
                          <w:rFonts w:eastAsia="DengXian"/>
                          <w:noProof/>
                          <w:sz w:val="20"/>
                          <w:szCs w:val="20"/>
                          <w:lang w:val="en-GB" w:eastAsia="zh-CN"/>
                        </w:rPr>
                        <w:t>Configuration of a non-serving cell</w:t>
                      </w:r>
                    </w:p>
                    <w:p w:rsidR="008D7BFC" w:rsidRPr="008D7BFC" w:rsidRDefault="008D7BFC" w:rsidP="008D7BFC">
                      <w:pPr>
                        <w:pStyle w:val="NormalWeb"/>
                        <w:numPr>
                          <w:ilvl w:val="0"/>
                          <w:numId w:val="3"/>
                        </w:numPr>
                        <w:snapToGrid w:val="0"/>
                        <w:spacing w:before="0" w:beforeAutospacing="0" w:after="0" w:afterAutospacing="0"/>
                        <w:rPr>
                          <w:rFonts w:eastAsia="DengXian"/>
                          <w:noProof/>
                          <w:sz w:val="20"/>
                          <w:szCs w:val="20"/>
                          <w:lang w:val="en-GB" w:eastAsia="zh-CN"/>
                        </w:rPr>
                      </w:pPr>
                      <w:r w:rsidRPr="008D7BFC">
                        <w:rPr>
                          <w:rFonts w:eastAsia="DengXian"/>
                          <w:noProof/>
                          <w:sz w:val="20"/>
                          <w:szCs w:val="20"/>
                          <w:lang w:val="en-GB" w:eastAsia="zh-CN"/>
                        </w:rPr>
                        <w:t>Deconfiguration of non-serving cell</w:t>
                      </w:r>
                    </w:p>
                    <w:p w:rsidR="008D7BFC" w:rsidRPr="008D7BFC" w:rsidRDefault="008D7BFC" w:rsidP="008D7BFC">
                      <w:pPr>
                        <w:pStyle w:val="NormalWeb"/>
                        <w:numPr>
                          <w:ilvl w:val="0"/>
                          <w:numId w:val="3"/>
                        </w:numPr>
                        <w:snapToGrid w:val="0"/>
                        <w:spacing w:before="0" w:beforeAutospacing="0" w:after="0" w:afterAutospacing="0"/>
                        <w:rPr>
                          <w:rFonts w:eastAsia="DengXian"/>
                          <w:noProof/>
                          <w:sz w:val="20"/>
                          <w:szCs w:val="20"/>
                          <w:lang w:val="en-GB" w:eastAsia="zh-CN"/>
                        </w:rPr>
                      </w:pPr>
                      <w:r w:rsidRPr="008D7BFC">
                        <w:rPr>
                          <w:rFonts w:eastAsia="DengXian"/>
                          <w:noProof/>
                          <w:sz w:val="20"/>
                          <w:szCs w:val="20"/>
                          <w:lang w:val="en-GB" w:eastAsia="zh-CN"/>
                        </w:rPr>
                        <w:t>Change of serving cell</w:t>
                      </w:r>
                    </w:p>
                    <w:p w:rsidR="008D7BFC" w:rsidRDefault="008D7BFC" w:rsidP="008D7BFC">
                      <w:pPr>
                        <w:rPr>
                          <w:b/>
                          <w:noProof/>
                          <w:sz w:val="20"/>
                          <w:szCs w:val="20"/>
                          <w:lang w:eastAsia="zh-CN"/>
                        </w:rPr>
                      </w:pPr>
                    </w:p>
                    <w:p w:rsidR="008D7BFC" w:rsidRPr="00F85821" w:rsidRDefault="008D7BFC" w:rsidP="00F85821">
                      <w:pPr>
                        <w:rPr>
                          <w:b/>
                          <w:noProof/>
                          <w:sz w:val="20"/>
                          <w:szCs w:val="20"/>
                          <w:lang w:eastAsia="zh-CN"/>
                        </w:rPr>
                      </w:pPr>
                      <w:r w:rsidRPr="008D7BFC">
                        <w:rPr>
                          <w:b/>
                          <w:noProof/>
                          <w:sz w:val="20"/>
                          <w:szCs w:val="20"/>
                          <w:lang w:eastAsia="zh-CN"/>
                        </w:rPr>
                        <w:t>Question 3</w:t>
                      </w:r>
                      <w:r w:rsidRPr="008D7BFC">
                        <w:rPr>
                          <w:noProof/>
                          <w:sz w:val="20"/>
                          <w:szCs w:val="20"/>
                          <w:lang w:eastAsia="zh-CN"/>
                        </w:rPr>
                        <w:t>: Whether both intra-frequency and inter-frequency scenarios are targeted for this new scheme?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D7BFC" w:rsidRDefault="008D7BFC" w:rsidP="00FA0873">
      <w:pPr>
        <w:rPr>
          <w:iCs/>
          <w:color w:val="000000" w:themeColor="text1"/>
          <w:sz w:val="20"/>
          <w:szCs w:val="20"/>
        </w:rPr>
      </w:pPr>
    </w:p>
    <w:p w:rsidR="008D7BFC" w:rsidRDefault="008D7BFC" w:rsidP="00FA0873">
      <w:pPr>
        <w:rPr>
          <w:iCs/>
          <w:color w:val="000000" w:themeColor="text1"/>
          <w:sz w:val="20"/>
          <w:szCs w:val="20"/>
        </w:rPr>
      </w:pPr>
    </w:p>
    <w:p w:rsidR="008D7BFC" w:rsidRDefault="008D7BFC" w:rsidP="00FA0873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RAN1 has discussed these questions and came to the following answers and conclusions:</w:t>
      </w:r>
    </w:p>
    <w:p w:rsidR="008D7BFC" w:rsidRDefault="008D7BFC" w:rsidP="00FA0873">
      <w:pPr>
        <w:rPr>
          <w:iCs/>
          <w:color w:val="000000" w:themeColor="text1"/>
          <w:sz w:val="20"/>
          <w:szCs w:val="20"/>
        </w:rPr>
      </w:pPr>
    </w:p>
    <w:p w:rsidR="008D7BFC" w:rsidRPr="008D7BFC" w:rsidRDefault="008D7BFC" w:rsidP="008D7BFC">
      <w:pPr>
        <w:pStyle w:val="00BodyText"/>
        <w:overflowPunct/>
        <w:autoSpaceDE/>
        <w:autoSpaceDN/>
        <w:adjustRightInd/>
        <w:spacing w:after="0"/>
        <w:textAlignment w:val="auto"/>
        <w:rPr>
          <w:rFonts w:ascii="Times New Roman" w:hAnsi="Times New Roman"/>
          <w:noProof/>
          <w:sz w:val="20"/>
          <w:lang w:val="en-GB" w:eastAsia="zh-CN"/>
        </w:rPr>
      </w:pPr>
      <w:r w:rsidRPr="008D7BFC">
        <w:rPr>
          <w:rFonts w:ascii="Times New Roman" w:hAnsi="Times New Roman"/>
          <w:b/>
          <w:noProof/>
          <w:sz w:val="20"/>
          <w:lang w:val="en-GB" w:eastAsia="zh-CN"/>
        </w:rPr>
        <w:t>Question 1</w:t>
      </w:r>
      <w:r w:rsidRPr="008D7BFC">
        <w:rPr>
          <w:rFonts w:ascii="Times New Roman" w:hAnsi="Times New Roman"/>
          <w:noProof/>
          <w:sz w:val="20"/>
          <w:lang w:val="en-GB" w:eastAsia="zh-CN"/>
        </w:rPr>
        <w:t xml:space="preserve">: What does “non-serving cell” mean? </w:t>
      </w:r>
    </w:p>
    <w:p w:rsidR="003F1475" w:rsidRDefault="008D7BFC" w:rsidP="00FA0873">
      <w:pPr>
        <w:rPr>
          <w:iCs/>
          <w:color w:val="000000" w:themeColor="text1"/>
          <w:sz w:val="20"/>
          <w:szCs w:val="20"/>
        </w:rPr>
      </w:pPr>
      <w:r w:rsidRPr="008D7BFC">
        <w:rPr>
          <w:iCs/>
          <w:color w:val="000000" w:themeColor="text1"/>
          <w:sz w:val="20"/>
          <w:szCs w:val="20"/>
        </w:rPr>
        <w:t>In the context of this LS, a "non-serving cell" is a neighboring cell with a PCI different from the current serving cell for which a link can be established for UE-specific channel reception and transmission.</w:t>
      </w:r>
    </w:p>
    <w:p w:rsidR="008D7BFC" w:rsidRDefault="008D7BFC" w:rsidP="00FA0873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 xml:space="preserve"> </w:t>
      </w:r>
    </w:p>
    <w:p w:rsidR="003F1475" w:rsidRPr="003F1475" w:rsidRDefault="003F1475" w:rsidP="003F1475">
      <w:pPr>
        <w:pStyle w:val="NormalWeb"/>
        <w:snapToGrid w:val="0"/>
        <w:spacing w:before="0" w:beforeAutospacing="0" w:after="0" w:afterAutospacing="0"/>
        <w:rPr>
          <w:rFonts w:eastAsia="DengXian"/>
          <w:noProof/>
          <w:sz w:val="20"/>
          <w:szCs w:val="20"/>
          <w:lang w:val="en-GB" w:eastAsia="zh-CN"/>
        </w:rPr>
      </w:pPr>
      <w:r w:rsidRPr="008D7BFC">
        <w:rPr>
          <w:rFonts w:eastAsia="DengXian"/>
          <w:b/>
          <w:noProof/>
          <w:sz w:val="20"/>
          <w:szCs w:val="20"/>
          <w:lang w:val="en-GB" w:eastAsia="zh-CN"/>
        </w:rPr>
        <w:t>Question 2</w:t>
      </w:r>
      <w:r w:rsidRPr="008D7BFC">
        <w:rPr>
          <w:rFonts w:eastAsia="DengXian"/>
          <w:noProof/>
          <w:sz w:val="20"/>
          <w:szCs w:val="20"/>
          <w:lang w:val="en-GB" w:eastAsia="zh-CN"/>
        </w:rPr>
        <w:t>: What is the proce</w:t>
      </w:r>
      <w:r>
        <w:rPr>
          <w:rFonts w:eastAsia="DengXian"/>
          <w:noProof/>
          <w:sz w:val="20"/>
          <w:szCs w:val="20"/>
          <w:lang w:val="en-GB" w:eastAsia="zh-CN"/>
        </w:rPr>
        <w:t>dure of L1/L2-centric mobility?</w:t>
      </w:r>
    </w:p>
    <w:p w:rsidR="003F1475" w:rsidRPr="003F1475" w:rsidRDefault="003F1475" w:rsidP="003F1475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This</w:t>
      </w:r>
      <w:r w:rsidRPr="003F1475">
        <w:rPr>
          <w:iCs/>
          <w:color w:val="000000" w:themeColor="text1"/>
          <w:sz w:val="20"/>
          <w:szCs w:val="20"/>
        </w:rPr>
        <w:t xml:space="preserve"> question fall</w:t>
      </w:r>
      <w:r>
        <w:rPr>
          <w:iCs/>
          <w:color w:val="000000" w:themeColor="text1"/>
          <w:sz w:val="20"/>
          <w:szCs w:val="20"/>
        </w:rPr>
        <w:t>s</w:t>
      </w:r>
      <w:r w:rsidRPr="003F1475">
        <w:rPr>
          <w:iCs/>
          <w:color w:val="000000" w:themeColor="text1"/>
          <w:sz w:val="20"/>
          <w:szCs w:val="20"/>
        </w:rPr>
        <w:t xml:space="preserve"> within the RAN2 scope. We kindl</w:t>
      </w:r>
      <w:r>
        <w:rPr>
          <w:iCs/>
          <w:color w:val="000000" w:themeColor="text1"/>
          <w:sz w:val="20"/>
          <w:szCs w:val="20"/>
        </w:rPr>
        <w:t>y request that RAN3 direct this question</w:t>
      </w:r>
      <w:r w:rsidRPr="003F1475">
        <w:rPr>
          <w:iCs/>
          <w:color w:val="000000" w:themeColor="text1"/>
          <w:sz w:val="20"/>
          <w:szCs w:val="20"/>
        </w:rPr>
        <w:t xml:space="preserve"> to RAN2.</w:t>
      </w:r>
    </w:p>
    <w:p w:rsidR="003F1475" w:rsidRDefault="003F1475" w:rsidP="003F1475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We would also like to point out that during RAN#92</w:t>
      </w:r>
      <w:r w:rsidR="008C0DE7">
        <w:rPr>
          <w:iCs/>
          <w:color w:val="000000" w:themeColor="text1"/>
          <w:sz w:val="20"/>
          <w:szCs w:val="20"/>
        </w:rPr>
        <w:t>-e</w:t>
      </w:r>
      <w:r>
        <w:rPr>
          <w:iCs/>
          <w:color w:val="000000" w:themeColor="text1"/>
          <w:sz w:val="20"/>
          <w:szCs w:val="20"/>
        </w:rPr>
        <w:t>, the scope of inter-cell beam management in Rel-17 has been clarified to include “</w:t>
      </w:r>
      <w:r w:rsidRPr="008D7BFC">
        <w:rPr>
          <w:iCs/>
          <w:color w:val="000000" w:themeColor="text1"/>
          <w:sz w:val="20"/>
          <w:szCs w:val="20"/>
        </w:rPr>
        <w:t>a UE can transmit to or receive from only a single cell (i.e. serving cell does not change when beam selection is done)</w:t>
      </w:r>
      <w:r>
        <w:rPr>
          <w:iCs/>
          <w:color w:val="000000" w:themeColor="text1"/>
          <w:sz w:val="20"/>
          <w:szCs w:val="20"/>
        </w:rPr>
        <w:t xml:space="preserve">,” [updated </w:t>
      </w:r>
      <w:proofErr w:type="spellStart"/>
      <w:r>
        <w:rPr>
          <w:iCs/>
          <w:color w:val="000000" w:themeColor="text1"/>
          <w:sz w:val="20"/>
          <w:szCs w:val="20"/>
        </w:rPr>
        <w:t>FeMIMO</w:t>
      </w:r>
      <w:proofErr w:type="spellEnd"/>
      <w:r>
        <w:rPr>
          <w:iCs/>
          <w:color w:val="000000" w:themeColor="text1"/>
          <w:sz w:val="20"/>
          <w:szCs w:val="20"/>
        </w:rPr>
        <w:t xml:space="preserve"> WID in RP-211586].</w:t>
      </w:r>
    </w:p>
    <w:p w:rsidR="003F1475" w:rsidRDefault="003F1475" w:rsidP="003F1475">
      <w:pPr>
        <w:rPr>
          <w:iCs/>
          <w:color w:val="000000" w:themeColor="text1"/>
          <w:sz w:val="20"/>
          <w:szCs w:val="20"/>
        </w:rPr>
      </w:pPr>
    </w:p>
    <w:p w:rsidR="003F1475" w:rsidRPr="00F85821" w:rsidRDefault="003F1475" w:rsidP="003F1475">
      <w:pPr>
        <w:rPr>
          <w:b/>
          <w:noProof/>
          <w:sz w:val="20"/>
          <w:szCs w:val="20"/>
          <w:lang w:eastAsia="zh-CN"/>
        </w:rPr>
      </w:pPr>
      <w:r w:rsidRPr="008D7BFC">
        <w:rPr>
          <w:b/>
          <w:noProof/>
          <w:sz w:val="20"/>
          <w:szCs w:val="20"/>
          <w:lang w:eastAsia="zh-CN"/>
        </w:rPr>
        <w:t>Question 3</w:t>
      </w:r>
      <w:r w:rsidRPr="008D7BFC">
        <w:rPr>
          <w:noProof/>
          <w:sz w:val="20"/>
          <w:szCs w:val="20"/>
          <w:lang w:eastAsia="zh-CN"/>
        </w:rPr>
        <w:t>: Whether both intra-frequency and inter-frequency scenarios are targeted for this new scheme?</w:t>
      </w:r>
    </w:p>
    <w:p w:rsidR="003F1475" w:rsidRDefault="003F1475" w:rsidP="003F1475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 xml:space="preserve">For Rel-17, </w:t>
      </w:r>
      <w:bookmarkStart w:id="0" w:name="_GoBack"/>
      <w:r>
        <w:rPr>
          <w:iCs/>
          <w:color w:val="000000" w:themeColor="text1"/>
          <w:sz w:val="20"/>
          <w:szCs w:val="20"/>
        </w:rPr>
        <w:t>as agreed in RAN#92</w:t>
      </w:r>
      <w:r w:rsidR="00761D8D">
        <w:rPr>
          <w:iCs/>
          <w:color w:val="000000" w:themeColor="text1"/>
          <w:sz w:val="20"/>
          <w:szCs w:val="20"/>
        </w:rPr>
        <w:t>-e</w:t>
      </w:r>
      <w:r>
        <w:rPr>
          <w:iCs/>
          <w:color w:val="000000" w:themeColor="text1"/>
          <w:sz w:val="20"/>
          <w:szCs w:val="20"/>
        </w:rPr>
        <w:t>, t</w:t>
      </w:r>
      <w:r w:rsidRPr="003F1475">
        <w:rPr>
          <w:iCs/>
          <w:color w:val="000000" w:themeColor="text1"/>
          <w:sz w:val="20"/>
          <w:szCs w:val="20"/>
        </w:rPr>
        <w:t>his work shall only consider intra-frequency cases</w:t>
      </w:r>
      <w:r>
        <w:rPr>
          <w:iCs/>
          <w:color w:val="000000" w:themeColor="text1"/>
          <w:sz w:val="20"/>
          <w:szCs w:val="20"/>
        </w:rPr>
        <w:t xml:space="preserve"> [updated </w:t>
      </w:r>
      <w:proofErr w:type="spellStart"/>
      <w:r>
        <w:rPr>
          <w:iCs/>
          <w:color w:val="000000" w:themeColor="text1"/>
          <w:sz w:val="20"/>
          <w:szCs w:val="20"/>
        </w:rPr>
        <w:t>FeMIMO</w:t>
      </w:r>
      <w:proofErr w:type="spellEnd"/>
      <w:r>
        <w:rPr>
          <w:iCs/>
          <w:color w:val="000000" w:themeColor="text1"/>
          <w:sz w:val="20"/>
          <w:szCs w:val="20"/>
        </w:rPr>
        <w:t xml:space="preserve"> WID in RP-211586].</w:t>
      </w:r>
    </w:p>
    <w:bookmarkEnd w:id="0"/>
    <w:p w:rsidR="003F1475" w:rsidRDefault="003F1475" w:rsidP="003F1475">
      <w:pPr>
        <w:rPr>
          <w:iCs/>
          <w:color w:val="000000" w:themeColor="text1"/>
          <w:sz w:val="20"/>
          <w:szCs w:val="20"/>
        </w:rPr>
      </w:pPr>
    </w:p>
    <w:p w:rsidR="003F1475" w:rsidRPr="008D7BFC" w:rsidRDefault="003F1475" w:rsidP="003F1475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lastRenderedPageBreak/>
        <w:t>We also would like to point out that as agreed in RAN#92</w:t>
      </w:r>
      <w:r w:rsidR="00761D8D">
        <w:rPr>
          <w:iCs/>
          <w:color w:val="000000" w:themeColor="text1"/>
          <w:sz w:val="20"/>
          <w:szCs w:val="20"/>
        </w:rPr>
        <w:t>-e</w:t>
      </w:r>
      <w:r>
        <w:rPr>
          <w:iCs/>
          <w:color w:val="000000" w:themeColor="text1"/>
          <w:sz w:val="20"/>
          <w:szCs w:val="20"/>
        </w:rPr>
        <w:t>, t</w:t>
      </w:r>
      <w:r w:rsidRPr="003F1475">
        <w:rPr>
          <w:iCs/>
          <w:color w:val="000000" w:themeColor="text1"/>
          <w:sz w:val="20"/>
          <w:szCs w:val="20"/>
        </w:rPr>
        <w:t>his work shall only consid</w:t>
      </w:r>
      <w:r>
        <w:rPr>
          <w:iCs/>
          <w:color w:val="000000" w:themeColor="text1"/>
          <w:sz w:val="20"/>
          <w:szCs w:val="20"/>
        </w:rPr>
        <w:t xml:space="preserve">er intra-DU </w:t>
      </w:r>
      <w:r w:rsidRPr="003F1475">
        <w:rPr>
          <w:iCs/>
          <w:color w:val="000000" w:themeColor="text1"/>
          <w:sz w:val="20"/>
          <w:szCs w:val="20"/>
        </w:rPr>
        <w:t>cases</w:t>
      </w:r>
      <w:r>
        <w:rPr>
          <w:iCs/>
          <w:color w:val="000000" w:themeColor="text1"/>
          <w:sz w:val="20"/>
          <w:szCs w:val="20"/>
        </w:rPr>
        <w:t xml:space="preserve"> [updated </w:t>
      </w:r>
      <w:proofErr w:type="spellStart"/>
      <w:r>
        <w:rPr>
          <w:iCs/>
          <w:color w:val="000000" w:themeColor="text1"/>
          <w:sz w:val="20"/>
          <w:szCs w:val="20"/>
        </w:rPr>
        <w:t>FeMIMO</w:t>
      </w:r>
      <w:proofErr w:type="spellEnd"/>
      <w:r>
        <w:rPr>
          <w:iCs/>
          <w:color w:val="000000" w:themeColor="text1"/>
          <w:sz w:val="20"/>
          <w:szCs w:val="20"/>
        </w:rPr>
        <w:t xml:space="preserve"> WID in RP-211586].</w:t>
      </w:r>
    </w:p>
    <w:p w:rsidR="00FA0873" w:rsidRPr="008D7BFC" w:rsidRDefault="00FA0873" w:rsidP="00FA0873">
      <w:pPr>
        <w:pStyle w:val="Heading1"/>
        <w:rPr>
          <w:b/>
          <w:sz w:val="24"/>
          <w:szCs w:val="20"/>
        </w:rPr>
      </w:pPr>
      <w:r w:rsidRPr="008D7BFC">
        <w:rPr>
          <w:b/>
          <w:sz w:val="24"/>
          <w:szCs w:val="20"/>
        </w:rPr>
        <w:t>Actions</w:t>
      </w:r>
    </w:p>
    <w:p w:rsidR="00FA0873" w:rsidRPr="00FA0873" w:rsidRDefault="00FA0873" w:rsidP="00FA0873">
      <w:pPr>
        <w:spacing w:after="120"/>
        <w:ind w:left="1985" w:hanging="1985"/>
        <w:rPr>
          <w:sz w:val="20"/>
          <w:szCs w:val="20"/>
        </w:rPr>
      </w:pPr>
      <w:r w:rsidRPr="00FA0873">
        <w:rPr>
          <w:sz w:val="20"/>
          <w:szCs w:val="20"/>
        </w:rPr>
        <w:t>To: RAN</w:t>
      </w:r>
      <w:r w:rsidR="009D3D42">
        <w:rPr>
          <w:sz w:val="20"/>
          <w:szCs w:val="20"/>
        </w:rPr>
        <w:t>3, RAN2 and RAN4</w:t>
      </w:r>
    </w:p>
    <w:p w:rsidR="00FA0873" w:rsidRPr="00FA0873" w:rsidRDefault="00FA0873" w:rsidP="00FA0873">
      <w:pPr>
        <w:spacing w:after="120"/>
        <w:ind w:left="993" w:hanging="993"/>
        <w:rPr>
          <w:sz w:val="20"/>
          <w:szCs w:val="20"/>
        </w:rPr>
      </w:pPr>
      <w:r w:rsidRPr="00FA0873">
        <w:rPr>
          <w:sz w:val="20"/>
          <w:szCs w:val="20"/>
        </w:rPr>
        <w:t xml:space="preserve">ACTION: </w:t>
      </w:r>
      <w:r w:rsidRPr="00FA0873">
        <w:rPr>
          <w:color w:val="0070C0"/>
          <w:sz w:val="20"/>
          <w:szCs w:val="20"/>
        </w:rPr>
        <w:tab/>
      </w:r>
      <w:r w:rsidRPr="00FA0873">
        <w:rPr>
          <w:sz w:val="20"/>
          <w:szCs w:val="20"/>
        </w:rPr>
        <w:t>RAN</w:t>
      </w:r>
      <w:r w:rsidR="009D3D42">
        <w:rPr>
          <w:sz w:val="20"/>
          <w:szCs w:val="20"/>
        </w:rPr>
        <w:t>1</w:t>
      </w:r>
      <w:r w:rsidRPr="00FA0873">
        <w:rPr>
          <w:sz w:val="20"/>
          <w:szCs w:val="20"/>
        </w:rPr>
        <w:t xml:space="preserve"> kindly asks </w:t>
      </w:r>
      <w:r w:rsidR="009D3D42">
        <w:rPr>
          <w:sz w:val="20"/>
          <w:szCs w:val="20"/>
        </w:rPr>
        <w:t>RAN3</w:t>
      </w:r>
      <w:r w:rsidRPr="00FA0873">
        <w:rPr>
          <w:sz w:val="20"/>
          <w:szCs w:val="20"/>
        </w:rPr>
        <w:t>, RAN2 and RAN4 to take the above into consideration</w:t>
      </w:r>
      <w:r w:rsidR="009D3D42">
        <w:rPr>
          <w:sz w:val="20"/>
          <w:szCs w:val="20"/>
        </w:rPr>
        <w:t>.</w:t>
      </w:r>
    </w:p>
    <w:p w:rsidR="00FA0873" w:rsidRPr="008D7BFC" w:rsidRDefault="00FA0873" w:rsidP="00FA0873">
      <w:pPr>
        <w:pStyle w:val="Heading1"/>
        <w:rPr>
          <w:b/>
          <w:sz w:val="24"/>
          <w:szCs w:val="20"/>
        </w:rPr>
      </w:pPr>
      <w:r w:rsidRPr="008D7BFC">
        <w:rPr>
          <w:b/>
          <w:sz w:val="24"/>
          <w:szCs w:val="20"/>
        </w:rPr>
        <w:t xml:space="preserve">Dates of next </w:t>
      </w:r>
      <w:r w:rsidRPr="008D7BFC">
        <w:rPr>
          <w:b/>
          <w:bCs/>
          <w:sz w:val="24"/>
          <w:szCs w:val="20"/>
        </w:rPr>
        <w:t xml:space="preserve">TSG </w:t>
      </w:r>
      <w:r w:rsidRPr="008D7BFC">
        <w:rPr>
          <w:b/>
          <w:sz w:val="24"/>
          <w:szCs w:val="20"/>
        </w:rPr>
        <w:t>WG1 meetings</w:t>
      </w:r>
    </w:p>
    <w:p w:rsidR="00FA0873" w:rsidRPr="00FA0873" w:rsidRDefault="00FA0873" w:rsidP="00FA0873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106b</w:t>
      </w:r>
      <w:r w:rsidR="00D83638">
        <w:rPr>
          <w:bCs/>
          <w:sz w:val="20"/>
          <w:szCs w:val="20"/>
          <w:lang w:val="it-IT"/>
        </w:rPr>
        <w:t>is</w:t>
      </w:r>
      <w:r>
        <w:rPr>
          <w:bCs/>
          <w:sz w:val="20"/>
          <w:szCs w:val="20"/>
          <w:lang w:val="it-IT"/>
        </w:rPr>
        <w:t>-e</w:t>
      </w:r>
      <w:r w:rsidRPr="00FA0873">
        <w:rPr>
          <w:bCs/>
          <w:sz w:val="20"/>
          <w:szCs w:val="20"/>
          <w:lang w:val="it-IT"/>
        </w:rPr>
        <w:tab/>
      </w:r>
      <w:r w:rsidR="00D83638">
        <w:rPr>
          <w:bCs/>
          <w:sz w:val="20"/>
          <w:szCs w:val="20"/>
          <w:lang w:val="it-IT"/>
        </w:rPr>
        <w:t>October 11th – 19th</w:t>
      </w:r>
      <w:r w:rsidRPr="00FA0873">
        <w:rPr>
          <w:bCs/>
          <w:sz w:val="20"/>
          <w:szCs w:val="20"/>
          <w:lang w:val="it-IT"/>
        </w:rPr>
        <w:t>, 2021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E-meeting</w:t>
      </w:r>
    </w:p>
    <w:p w:rsidR="00FA0873" w:rsidRPr="00FA0873" w:rsidRDefault="00FA0873" w:rsidP="00FA0873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107-e</w:t>
      </w:r>
      <w:r w:rsidRPr="00FA0873">
        <w:rPr>
          <w:bCs/>
          <w:sz w:val="20"/>
          <w:szCs w:val="20"/>
          <w:lang w:val="it-IT"/>
        </w:rPr>
        <w:tab/>
      </w:r>
      <w:r w:rsidR="00D83638">
        <w:rPr>
          <w:bCs/>
          <w:sz w:val="20"/>
          <w:szCs w:val="20"/>
          <w:lang w:val="it-IT"/>
        </w:rPr>
        <w:t>Novermber 11th – November 19th</w:t>
      </w:r>
      <w:r w:rsidRPr="00FA0873">
        <w:rPr>
          <w:bCs/>
          <w:sz w:val="20"/>
          <w:szCs w:val="20"/>
          <w:lang w:val="it-IT"/>
        </w:rPr>
        <w:t>, 2021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E-meeting</w:t>
      </w:r>
    </w:p>
    <w:p w:rsidR="00AB141F" w:rsidRPr="00FA0873" w:rsidRDefault="00AB141F">
      <w:pPr>
        <w:rPr>
          <w:sz w:val="20"/>
          <w:szCs w:val="20"/>
        </w:rPr>
      </w:pPr>
    </w:p>
    <w:sectPr w:rsidR="00AB141F" w:rsidRPr="00FA08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044"/>
    <w:rsid w:val="001462CC"/>
    <w:rsid w:val="00305394"/>
    <w:rsid w:val="003F1475"/>
    <w:rsid w:val="00490EF5"/>
    <w:rsid w:val="00674044"/>
    <w:rsid w:val="00761D8D"/>
    <w:rsid w:val="007F41EC"/>
    <w:rsid w:val="008714A2"/>
    <w:rsid w:val="008C0DE7"/>
    <w:rsid w:val="008D7BFC"/>
    <w:rsid w:val="00961DE7"/>
    <w:rsid w:val="009D3D42"/>
    <w:rsid w:val="00AB141F"/>
    <w:rsid w:val="00C8116A"/>
    <w:rsid w:val="00D73CD1"/>
    <w:rsid w:val="00D83638"/>
    <w:rsid w:val="00F06915"/>
    <w:rsid w:val="00FA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E6BA9"/>
  <w15:chartTrackingRefBased/>
  <w15:docId w15:val="{FD718381-00AD-4D80-A399-ADD6E519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2CC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1462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1462C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462C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462C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462C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462C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462C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462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62C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462CC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1462CC"/>
    <w:rPr>
      <w:rFonts w:ascii="Times New Roman" w:eastAsia="Malgun Gothic" w:hAnsi="Times New Roman" w:cs="Times New Roman"/>
      <w:sz w:val="32"/>
      <w:szCs w:val="32"/>
      <w:lang w:eastAsia="zh-CN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1462CC"/>
    <w:rPr>
      <w:rFonts w:ascii="Times New Roman" w:eastAsia="Malgun Gothic" w:hAnsi="Times New Roman" w:cs="Times New Roman"/>
      <w:sz w:val="28"/>
      <w:szCs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462CC"/>
    <w:rPr>
      <w:rFonts w:ascii="Times New Roman" w:eastAsia="Malgun Gothic" w:hAnsi="Times New Roman" w:cs="Times New Roman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1462CC"/>
    <w:rPr>
      <w:rFonts w:ascii="Times New Roman" w:eastAsia="Malgun Gothic" w:hAnsi="Times New Roman" w:cs="Times New Roman"/>
      <w:lang w:eastAsia="zh-CN"/>
    </w:rPr>
  </w:style>
  <w:style w:type="character" w:customStyle="1" w:styleId="Heading6Char">
    <w:name w:val="Heading 6 Char"/>
    <w:basedOn w:val="DefaultParagraphFont"/>
    <w:link w:val="Heading6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7Char">
    <w:name w:val="Heading 7 Char"/>
    <w:basedOn w:val="DefaultParagraphFont"/>
    <w:link w:val="Heading7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8Char">
    <w:name w:val="Heading 8 Char"/>
    <w:basedOn w:val="DefaultParagraphFont"/>
    <w:link w:val="Heading8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9Char">
    <w:name w:val="Heading 9 Char"/>
    <w:basedOn w:val="DefaultParagraphFont"/>
    <w:link w:val="Heading9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paragraph" w:customStyle="1" w:styleId="CRCoverPage">
    <w:name w:val="CR Cover Page"/>
    <w:link w:val="CRCoverPageZchn"/>
    <w:qFormat/>
    <w:rsid w:val="001462CC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1462CC"/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DECISION">
    <w:name w:val="DECISION"/>
    <w:basedOn w:val="Normal"/>
    <w:rsid w:val="00FA0873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DengXian" w:hAnsi="Arial"/>
      <w:b/>
      <w:color w:val="0000FF"/>
      <w:sz w:val="20"/>
      <w:szCs w:val="20"/>
      <w:u w:val="single"/>
      <w:lang w:val="en-GB" w:eastAsia="en-US"/>
    </w:rPr>
  </w:style>
  <w:style w:type="paragraph" w:customStyle="1" w:styleId="00BodyText">
    <w:name w:val="00 BodyText"/>
    <w:basedOn w:val="Normal"/>
    <w:rsid w:val="008D7BF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DengXian" w:hAnsi="Arial"/>
      <w:sz w:val="22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8D7BFC"/>
    <w:pPr>
      <w:spacing w:before="100" w:beforeAutospacing="1" w:after="100" w:afterAutospacing="1"/>
    </w:pPr>
    <w:rPr>
      <w:rFonts w:eastAsia="SimSun"/>
      <w:lang w:val="da-DK" w:eastAsia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0D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DE7"/>
    <w:rPr>
      <w:rFonts w:ascii="Segoe UI" w:eastAsia="Malgun Gothic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15</cp:revision>
  <dcterms:created xsi:type="dcterms:W3CDTF">2021-07-28T17:28:00Z</dcterms:created>
  <dcterms:modified xsi:type="dcterms:W3CDTF">2021-08-05T20:41:00Z</dcterms:modified>
</cp:coreProperties>
</file>